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Investment House View - Q4 2026</w:t>
      </w:r>
    </w:p>
    <w:p>
      <w:r>
        <w:rPr>
          <w:i/>
        </w:rPr>
        <w:t>TRAINING SAMPLE - fictional content prepared for the AI at Work with Microsoft Copilot program. Not investment advice.</w:t>
      </w:r>
    </w:p>
    <w:p>
      <w:pPr>
        <w:pStyle w:val="Heading1"/>
      </w:pPr>
      <w:r>
        <w:t>1. Summary</w:t>
      </w:r>
    </w:p>
    <w:p>
      <w:r>
        <w:t>We stay neutral on risk going into Q4. Equity markets had a strong Q3, led by technology and Gulf banks. Portfolios that drifted above their equity range should be brought back inside it. We prefer adding high-quality fixed income gradually, and we stay cautious on real estate.</w:t>
      </w:r>
    </w:p>
    <w:p>
      <w:pPr>
        <w:pStyle w:val="Heading1"/>
      </w:pPr>
      <w:r>
        <w:t>2. Asset class views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Asset class</w:t>
            </w:r>
          </w:p>
        </w:tc>
        <w:tc>
          <w:tcPr>
            <w:tcW w:type="dxa" w:w="2880"/>
          </w:tcPr>
          <w:p>
            <w:r>
              <w:t>View</w:t>
            </w:r>
          </w:p>
        </w:tc>
        <w:tc>
          <w:tcPr>
            <w:tcW w:type="dxa" w:w="2880"/>
          </w:tcPr>
          <w:p>
            <w:r>
              <w:t>What this means for portfolios</w:t>
            </w:r>
          </w:p>
        </w:tc>
      </w:tr>
      <w:tr>
        <w:tc>
          <w:tcPr>
            <w:tcW w:type="dxa" w:w="2880"/>
          </w:tcPr>
          <w:p>
            <w:r>
              <w:t>Equity</w:t>
            </w:r>
          </w:p>
        </w:tc>
        <w:tc>
          <w:tcPr>
            <w:tcW w:type="dxa" w:w="2880"/>
          </w:tcPr>
          <w:p>
            <w:r>
              <w:t>Neutral</w:t>
            </w:r>
          </w:p>
        </w:tc>
        <w:tc>
          <w:tcPr>
            <w:tcW w:type="dxa" w:w="2880"/>
          </w:tcPr>
          <w:p>
            <w:r>
              <w:t>Trim positions back to the mandate range after the Q3 rally. Keep quality Gulf banks, but respect issuer limits.</w:t>
            </w:r>
          </w:p>
        </w:tc>
      </w:tr>
      <w:tr>
        <w:tc>
          <w:tcPr>
            <w:tcW w:type="dxa" w:w="2880"/>
          </w:tcPr>
          <w:p>
            <w:r>
              <w:t>Fixed Income</w:t>
            </w:r>
          </w:p>
        </w:tc>
        <w:tc>
          <w:tcPr>
            <w:tcW w:type="dxa" w:w="2880"/>
          </w:tcPr>
          <w:p>
            <w:r>
              <w:t>Positive</w:t>
            </w:r>
          </w:p>
        </w:tc>
        <w:tc>
          <w:tcPr>
            <w:tcW w:type="dxa" w:w="2880"/>
          </w:tcPr>
          <w:p>
            <w:r>
              <w:t>Add gradually to GCC sovereign and high-grade issuers. Keep average maturity around 5 years.</w:t>
            </w:r>
          </w:p>
        </w:tc>
      </w:tr>
      <w:tr>
        <w:tc>
          <w:tcPr>
            <w:tcW w:type="dxa" w:w="2880"/>
          </w:tcPr>
          <w:p>
            <w:r>
              <w:t>Real Estate</w:t>
            </w:r>
          </w:p>
        </w:tc>
        <w:tc>
          <w:tcPr>
            <w:tcW w:type="dxa" w:w="2880"/>
          </w:tcPr>
          <w:p>
            <w:r>
              <w:t>Cautious</w:t>
            </w:r>
          </w:p>
        </w:tc>
        <w:tc>
          <w:tcPr>
            <w:tcW w:type="dxa" w:w="2880"/>
          </w:tcPr>
          <w:p>
            <w:r>
              <w:t>Do not add. Hold existing positions within the range. REIT prices remain under pressure.</w:t>
            </w:r>
          </w:p>
        </w:tc>
      </w:tr>
      <w:tr>
        <w:tc>
          <w:tcPr>
            <w:tcW w:type="dxa" w:w="2880"/>
          </w:tcPr>
          <w:p>
            <w:r>
              <w:t>Cash</w:t>
            </w:r>
          </w:p>
        </w:tc>
        <w:tc>
          <w:tcPr>
            <w:tcW w:type="dxa" w:w="2880"/>
          </w:tcPr>
          <w:p>
            <w:r>
              <w:t>Neutral</w:t>
            </w:r>
          </w:p>
        </w:tc>
        <w:tc>
          <w:tcPr>
            <w:tcW w:type="dxa" w:w="2880"/>
          </w:tcPr>
          <w:p>
            <w:r>
              <w:t>Keep 5-10% for liquidity. Large cash balances should be invested in line with the mandate.</w:t>
            </w:r>
          </w:p>
        </w:tc>
      </w:tr>
    </w:tbl>
    <w:p>
      <w:pPr>
        <w:pStyle w:val="Heading1"/>
      </w:pPr>
      <w:r>
        <w:t>3. Concentration</w:t>
      </w:r>
    </w:p>
    <w:p>
      <w:r>
        <w:t>No single issuer should exceed 10% of a client portfolio. Equity and bonds from the same issuer count together. Where a strong rally pushes an issuer above the limit, we recommend trimming back below 10% at the next rebalance.</w:t>
      </w:r>
    </w:p>
    <w:p>
      <w:pPr>
        <w:pStyle w:val="Heading1"/>
      </w:pPr>
      <w:r>
        <w:t>4. Rules for client communication</w:t>
      </w:r>
    </w:p>
    <w:p>
      <w:pPr>
        <w:pStyle w:val="ListBullet"/>
      </w:pPr>
      <w:r>
        <w:t>Every figure must match the approved analysis. Show KWD values without decimals and percentages to one decimal place.</w:t>
      </w:r>
    </w:p>
    <w:p>
      <w:pPr>
        <w:pStyle w:val="ListBullet"/>
      </w:pPr>
      <w:r>
        <w:t>Never promise or imply a guaranteed return.</w:t>
      </w:r>
    </w:p>
    <w:p>
      <w:pPr>
        <w:pStyle w:val="ListBullet"/>
      </w:pPr>
      <w:r>
        <w:t>Never include another client's name, holdings or results.</w:t>
      </w:r>
    </w:p>
    <w:p>
      <w:pPr>
        <w:pStyle w:val="ListBullet"/>
      </w:pPr>
      <w:r>
        <w:t>Copy Compliance on any document that goes to a client.</w:t>
      </w:r>
    </w:p>
    <w:p>
      <w:pPr>
        <w:pStyle w:val="ListBullet"/>
      </w:pPr>
      <w:r>
        <w:t>Client-facing documents must end with the standard disclaimer below. Internal memos do not need it.</w:t>
      </w:r>
    </w:p>
    <w:p>
      <w:pPr>
        <w:pStyle w:val="Heading1"/>
      </w:pPr>
      <w:r>
        <w:t>5. Standard disclaimer (client documents only)</w:t>
      </w:r>
    </w:p>
    <w:p>
      <w:r>
        <w:rPr>
          <w:i/>
        </w:rPr>
        <w:t>This document is for information only and does not constitute an offer or a recommendation to buy or sell any security. Past performance is not a reliable indicator of future results. The value of investments can go down as well as up.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